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asthma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10:34:56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10:35:02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5.83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935"/>
        <w:gridCol w:w="4600"/>
        <w:gridCol w:w="1266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330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M-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99</w:t>
            </w:r>
          </w:p>
        </w:tc>
      </w:tr>
      <w:tr>
        <w:trPr>
          <w:trHeight w:val="29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M+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66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M-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99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M+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66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340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M-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102</w:t>
            </w:r>
          </w:p>
        </w:tc>
      </w:tr>
      <w:tr>
        <w:trPr>
          <w:trHeight w:val="29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M+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68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M-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102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M+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68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350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M-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105</w:t>
            </w:r>
          </w:p>
        </w:tc>
      </w:tr>
      <w:tr>
        <w:trPr>
          <w:trHeight w:val="29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M+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70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M-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105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M+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Normal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168"/>
        <w:gridCol w:w="2732"/>
        <w:gridCol w:w="3900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Outcome 1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M-}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0.12, SD = 0.45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M+}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0.12, SD = 0.45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 M-}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0.24, SD = 0.45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 M+}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0.3, SD = 0.45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852"/>
        <w:gridCol w:w="1695"/>
        <w:gridCol w:w="1839"/>
        <w:gridCol w:w="6415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M-, Placebo M+}, {Treatment M-, Treatment M+}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M+}, {Treatment M+}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Hochberg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{OP test, M+ test}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Parameters: Weight={0.5,0.5}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3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409"/>
        <w:gridCol w:w="2733"/>
        <w:gridCol w:w="2080"/>
        <w:gridCol w:w="1169"/>
        <w:gridCol w:w="2409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  <w:br/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  <w:br/>
              <w:t xml:space="preserve">M+ test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  <w:br/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  <w:br/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242"/>
        <w:gridCol w:w="1614"/>
        <w:gridCol w:w="2514"/>
        <w:gridCol w:w="2514"/>
        <w:gridCol w:w="916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Hochberg adjustment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330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0.7620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0.6200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0.7900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0.5920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340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0.6370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0.8100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0.6020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350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0.8020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M+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0.6450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0.8250</w:t>
            </w:r>
          </w:p>
        </w:tc>
      </w:tr>
      <w:tr>
        <w:trPr>
          <w:trHeight w:val="326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Conjunctive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0.6220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2018-07-16T10:35:03Z</dcterms:modified>
  <cp:version/>
</cp:coreProperties>
</file>