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5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rheumatoid arthritis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10:35:20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10:35:40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19.54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251"/>
        <w:gridCol w:w="6716"/>
        <w:gridCol w:w="834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325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ACR20, Placebo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100</w:t>
            </w:r>
          </w:p>
        </w:tc>
      </w:tr>
      <w:tr>
        <w:trPr>
          <w:trHeight w:val="31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DoseL ACR20, DoseL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100</w:t>
            </w:r>
          </w:p>
        </w:tc>
      </w:tr>
      <w:tr>
        <w:trPr>
          <w:trHeight w:val="31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DoseH ACR20, DoseH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100</w:t>
            </w:r>
          </w:p>
        </w:tc>
      </w:tr>
      <w:tr>
        <w:trPr>
          <w:trHeight w:val="325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ACR20, Placebo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120</w:t>
            </w:r>
          </w:p>
        </w:tc>
      </w:tr>
      <w:tr>
        <w:trPr>
          <w:trHeight w:val="31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DoseL ACR20, DoseL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120</w:t>
            </w:r>
          </w:p>
        </w:tc>
      </w:tr>
      <w:tr>
        <w:trPr>
          <w:trHeight w:val="31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DoseH ACR20, DoseH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120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Multivariate Mixed (Binomial, Normal)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236"/>
        <w:gridCol w:w="3218"/>
        <w:gridCol w:w="5346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8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Conservative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ACR20}, {Placebo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0.3}, {mean = -0.1,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{DoseL ACR20}, {DoseL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0.4}, {mean = -0.2,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{DoseH ACR20}, {DoseH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0.5}, {mean = -0.3,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Standard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ACR20}, {Placebo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0.3}, {mean = -0.1,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{DoseL ACR20}, {DoseL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0.45}, {mean = -0.25,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{DoseH ACR20}, {DoseH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0.55}, {mean = -0.35,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Optimistic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ACR20}, {Placebo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0.3}, {mean = -0.1,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{DoseL ACR20}, {DoseL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0.5}, {mean = -0.3, SD = 0.5},</w:t>
              <w:br/>
              <w:t xml:space="preserve">corr = {1,0.5,0.5,1}</w:t>
            </w:r>
          </w:p>
        </w:tc>
      </w:tr>
      <w:tr>
        <w:trPr>
          <w:trHeight w:val="338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{DoseH ACR20}, {DoseH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{prop = 0.6}, {mean = -0.4, SD = 0.5},</w:t>
              <w:br/>
              <w:t xml:space="preserve">corr = {1,0.5,0.5,1}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956"/>
        <w:gridCol w:w="2201"/>
        <w:gridCol w:w="1828"/>
        <w:gridCol w:w="3815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Test for proportions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ACR20}, {DoseL ACR20}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Test for proportions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ACR20}, {DoseH ACR20}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{DoseL HAQ-DI}, {Placebo HAQ-DI}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{DoseH HAQ-DI}, {Placebo HAQ-DI}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Multiplicity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Multiple-sequence gatekeeping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DoseH - ACR20, Placebo vs DoseL - ACR20, Placebo vs DoseH - HAQ-DI, Placebo vs DoseL - HAQ-DI}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Parameters: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669"/>
        <w:gridCol w:w="5591"/>
        <w:gridCol w:w="2301"/>
        <w:gridCol w:w="2238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Family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Component procedure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Truncation parameter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vs DoseH - ACR20, Placebo vs DoseL - ACR20}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HolmAdj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vs DoseH - HAQ-DI, Placebo vs DoseL - HAQ-DI}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HolmAdj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1.000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073"/>
        <w:gridCol w:w="838"/>
        <w:gridCol w:w="4265"/>
        <w:gridCol w:w="359"/>
        <w:gridCol w:w="4265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  <w:br/>
              <w:t xml:space="preserve">Placebo vs DoseH - ACR20</w:t>
              <w:br/>
              <w:t xml:space="preserve">Placebo vs DoseL - HAQ-DI</w:t>
              <w:br/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  <w:br/>
              <w:t xml:space="preserve">Placebo vs DoseH - ACR20</w:t>
              <w:br/>
              <w:t xml:space="preserve">Placebo vs DoseL - HAQ-DI</w:t>
              <w:br/>
              <w:t xml:space="preserve">Placebo vs DoseH - HAQ-DI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  <w:br/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  <w:br/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(Conservative)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953"/>
        <w:gridCol w:w="1124"/>
        <w:gridCol w:w="2543"/>
        <w:gridCol w:w="2543"/>
        <w:gridCol w:w="638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Multiple-sequence gatekeeping procedure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0.2950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0.1320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0.4740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0.4770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0.3420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0.1730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0.5880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953"/>
        <w:gridCol w:w="1124"/>
        <w:gridCol w:w="2543"/>
        <w:gridCol w:w="2543"/>
        <w:gridCol w:w="638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Multiple-sequence gatekeeping procedure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0.3620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0.7980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0.6180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0.9690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0.4420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0.8800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953"/>
        <w:gridCol w:w="1124"/>
        <w:gridCol w:w="2543"/>
        <w:gridCol w:w="2543"/>
        <w:gridCol w:w="638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Multiple-sequence gatekeeping procedure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0.9920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0.9940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DoseL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DoseH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ACR20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0.9960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 - HAQ-DI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0.9820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2018-07-16T10:35:41Z</dcterms:modified>
  <cp:version/>
</cp:coreProperties>
</file>